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Сообщение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 возможном установлении публичного сервитута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14:ligatures w14:val="none"/>
        </w:rPr>
      </w:r>
    </w:p>
    <w:p>
      <w:pPr>
        <w:jc w:val="center"/>
        <w:spacing w:after="0" w:line="240" w:lineRule="auto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в целях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строительство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сооружения связи (Антенно-мачтовое сооружение связи ПАО «МТС» 86-3105)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/>
    </w:p>
    <w:p>
      <w:pPr>
        <w:jc w:val="center"/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</w:pPr>
      <w:r>
        <w:rPr>
          <w:szCs w:val="28"/>
        </w:rPr>
        <w:t xml:space="preserve">В соответствии со статьёй 39.42 Земельного кодекса Российской Федерации</w:t>
      </w:r>
      <w:r>
        <w:rPr>
          <w:szCs w:val="28"/>
        </w:rPr>
        <w:t xml:space="preserve">,</w:t>
      </w:r>
      <w:r>
        <w:rPr>
          <w:szCs w:val="28"/>
        </w:rPr>
        <w:t xml:space="preserve"> </w:t>
        <w:br/>
      </w:r>
      <w:r>
        <w:rPr>
          <w:szCs w:val="28"/>
        </w:rPr>
        <w:t xml:space="preserve">в связи с обращением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ПАО «МТС»</w:t>
      </w:r>
      <w:r>
        <w:rPr>
          <w:szCs w:val="28"/>
        </w:rPr>
        <w:t xml:space="preserve">, </w:t>
      </w:r>
      <w:r>
        <w:rPr>
          <w:szCs w:val="28"/>
        </w:rPr>
        <w:t xml:space="preserve">Департамент </w:t>
      </w:r>
      <w:r>
        <w:rPr>
          <w:szCs w:val="28"/>
        </w:rPr>
        <w:t xml:space="preserve">недропользования и природных ресурсов </w:t>
      </w:r>
      <w:r>
        <w:rPr>
          <w:szCs w:val="28"/>
        </w:rPr>
        <w:t xml:space="preserve">Ханты-Мансийского автономного округа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 Югры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информирует о возможном установлении публичного сервитута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строительства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сооружения связи (Антенно-мачтовое сооружение связи ПАО «МТС» 86-3105)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Ханты-Мансийский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район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center"/>
        <w:spacing w:after="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88"/>
        <w:numPr>
          <w:ilvl w:val="0"/>
          <w:numId w:val="2"/>
        </w:numPr>
        <w:ind w:left="0" w:firstLine="709"/>
        <w:jc w:val="both"/>
        <w:rPr>
          <w:b/>
        </w:rPr>
      </w:pPr>
      <w:r>
        <w:rPr>
          <w:b/>
        </w:rPr>
        <w:t xml:space="preserve">Н</w:t>
      </w:r>
      <w:r>
        <w:rPr>
          <w:b/>
        </w:rPr>
        <w:t xml:space="preserve">аименование уполномоченного органа, которым рассматривается ходатайство об ус</w:t>
      </w:r>
      <w:r>
        <w:rPr>
          <w:b/>
        </w:rPr>
        <w:t xml:space="preserve">тановлении публичного сервитута.</w:t>
      </w:r>
      <w:r>
        <w:rPr>
          <w:b/>
        </w:rPr>
      </w:r>
      <w:r>
        <w:rPr>
          <w:b/>
        </w:rPr>
      </w:r>
    </w:p>
    <w:p>
      <w:pPr>
        <w:pStyle w:val="888"/>
        <w:ind w:left="0" w:firstLine="709"/>
        <w:jc w:val="both"/>
        <w:rPr>
          <w:highlight w:val="none"/>
        </w:rPr>
      </w:pPr>
      <w:r>
        <w:t xml:space="preserve">Департамент недропользования и природных ресурсов Ханты-Мансийского автономного округа – Югры.</w:t>
      </w:r>
      <w:r>
        <w:rPr>
          <w:highlight w:val="none"/>
        </w:rPr>
      </w:r>
      <w:r>
        <w:rPr>
          <w:highlight w:val="none"/>
        </w:rPr>
      </w:r>
    </w:p>
    <w:p>
      <w:pPr>
        <w:pStyle w:val="888"/>
        <w:ind w:left="0" w:firstLine="709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88"/>
        <w:numPr>
          <w:ilvl w:val="0"/>
          <w:numId w:val="2"/>
        </w:numPr>
        <w:ind w:left="0" w:firstLine="709"/>
        <w:jc w:val="both"/>
        <w:rPr>
          <w:b/>
        </w:rPr>
      </w:pPr>
      <w:r>
        <w:rPr>
          <w:b/>
        </w:rPr>
        <w:t xml:space="preserve">Цели установления публичного сервитута.</w:t>
      </w:r>
      <w:r>
        <w:rPr>
          <w:b/>
        </w:rPr>
      </w:r>
      <w:r>
        <w:rPr>
          <w:b/>
        </w:rPr>
      </w:r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строительство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сооружения связи (Антенно-мачтовое сооружение связи ПАО «МТС» 86-3105)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Ханты-Мансийский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район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851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</w:p>
    <w:p>
      <w:pPr>
        <w:pStyle w:val="888"/>
        <w:numPr>
          <w:ilvl w:val="0"/>
          <w:numId w:val="2"/>
        </w:numPr>
        <w:ind w:left="0" w:firstLine="709"/>
        <w:jc w:val="both"/>
        <w:spacing w:line="240" w:lineRule="auto"/>
        <w:rPr>
          <w:b/>
        </w:rPr>
      </w:pPr>
      <w:r>
        <w:rPr>
          <w:b/>
        </w:rPr>
        <w:t xml:space="preserve">Адрес или иное описание местоположения земельного участка (участков), в </w:t>
      </w:r>
      <w:r>
        <w:rPr>
          <w:b/>
        </w:rPr>
        <w:t xml:space="preserve">отношении</w:t>
      </w:r>
      <w:r>
        <w:rPr>
          <w:b/>
        </w:rPr>
        <w:t xml:space="preserve"> которого испрашивается публичный сервитут, кадастровые номера земельных участков (при их наличии), в отношении </w:t>
      </w:r>
      <w:r>
        <w:rPr>
          <w:b/>
        </w:rPr>
        <w:t xml:space="preserve">которых</w:t>
      </w:r>
      <w:r>
        <w:rPr>
          <w:b/>
        </w:rPr>
        <w:t xml:space="preserve"> испрашивается публичный сервитут.</w:t>
      </w:r>
      <w:r>
        <w:rPr>
          <w:b/>
        </w:rPr>
      </w:r>
      <w:r>
        <w:rPr>
          <w:b/>
        </w:rPr>
      </w:r>
    </w:p>
    <w:tbl>
      <w:tblPr>
        <w:tblW w:w="10565" w:type="dxa"/>
        <w:tblLayout w:type="fixed"/>
        <w:tblLook w:val="04A0" w:firstRow="1" w:lastRow="0" w:firstColumn="1" w:lastColumn="0" w:noHBand="0" w:noVBand="1"/>
      </w:tblPr>
      <w:tblGrid>
        <w:gridCol w:w="704"/>
        <w:gridCol w:w="1105"/>
        <w:gridCol w:w="2801"/>
        <w:gridCol w:w="1702"/>
        <w:gridCol w:w="2552"/>
        <w:gridCol w:w="1701"/>
      </w:tblGrid>
      <w:tr>
        <w:tblPrEx/>
        <w:trPr>
          <w:trHeight w:val="111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color w:val="000000"/>
                <w:sz w:val="22"/>
                <w:szCs w:val="22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  <w:lang w:eastAsia="ru-RU"/>
              </w:rPr>
              <w:t xml:space="preserve">п</w:t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  <w:lang w:eastAsia="ru-RU"/>
              </w:rPr>
              <w:t xml:space="preserve">/п</w:t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Муниципальное образование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Кадастровый номер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Категория земель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Адрес (местоположение) 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Вид разрешенного использования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6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color w:val="000000"/>
                <w:sz w:val="22"/>
                <w:szCs w:val="22"/>
                <w:lang w:eastAsia="ru-RU"/>
              </w:rPr>
              <w:t xml:space="preserve">1</w:t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0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Ханты-Мансийский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01" w:type="dxa"/>
            <w:vMerge w:val="restart"/>
            <w:textDirection w:val="lrTb"/>
            <w:noWrap w:val="false"/>
          </w:tcPr>
          <w:p>
            <w:pPr>
              <w:pStyle w:val="723"/>
              <w:jc w:val="center"/>
            </w:pPr>
            <w:r>
              <w:rPr>
                <w:b w:val="0"/>
                <w:bCs w:val="0"/>
                <w:color w:val="000000"/>
                <w:sz w:val="22"/>
                <w:szCs w:val="22"/>
                <w14:ligatures w14:val="none"/>
              </w:rPr>
              <w:t xml:space="preserve">86:02:1001003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highlight w:val="none"/>
              </w:rPr>
              <w:t xml:space="preserve">Земли лесного фонда</w:t>
            </w:r>
            <w:r>
              <w:rPr>
                <w:rFonts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Ханты-Мансийский автономный </w:t>
              <w:br/>
              <w:t xml:space="preserve">округ - Югра, Ханты-мансийский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район</w:t>
            </w:r>
            <w:r>
              <w:rPr>
                <w:rFonts w:eastAsia="Times New Roman" w:cs="Times New Roman"/>
                <w:color w:val="000000"/>
                <w:szCs w:val="22"/>
              </w:rPr>
            </w:r>
            <w:r>
              <w:rPr>
                <w:rFonts w:eastAsia="Times New Roman" w:cs="Times New Roman"/>
                <w:color w:val="000000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строительство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сооружения связи (Антенно-мачтовое сооружение связи ПАО «МТС» 86-3105)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Х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анты-Мансийский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район</w:t>
            </w:r>
            <w:r>
              <w:rPr>
                <w:rFonts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</w:tr>
    </w:tbl>
    <w:p>
      <w:pPr>
        <w:jc w:val="both"/>
        <w:spacing w:after="0" w:line="240" w:lineRule="auto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88"/>
        <w:numPr>
          <w:ilvl w:val="0"/>
          <w:numId w:val="2"/>
        </w:numPr>
        <w:ind w:left="0" w:firstLine="709"/>
        <w:jc w:val="both"/>
        <w:spacing w:after="0" w:line="240" w:lineRule="auto"/>
        <w:rPr>
          <w:b/>
          <w:szCs w:val="28"/>
        </w:rPr>
      </w:pPr>
      <w:r>
        <w:rPr>
          <w:b/>
          <w:szCs w:val="28"/>
        </w:rPr>
        <w:t xml:space="preserve">Адрес, по которому заинтересованные лица могут ознакомиться </w:t>
        <w:br/>
        <w:t xml:space="preserve">с поступившим ходатайством об установлении публичного сервитута и прилагаемым к нему описани</w:t>
      </w:r>
      <w:r>
        <w:rPr>
          <w:b/>
          <w:szCs w:val="28"/>
        </w:rPr>
        <w:t xml:space="preserve">ем местоположения границ публичного сервитута, подать заявления об учете прав на земельные участки, а также срок подачи указанных заявлений, время приема заинтересованных лиц для ознакомления с поступившим ходатайством об установлении публичного сервитута.</w:t>
      </w:r>
      <w:r>
        <w:rPr>
          <w:b/>
          <w:szCs w:val="28"/>
        </w:rPr>
      </w:r>
      <w:r>
        <w:rPr>
          <w:b/>
          <w:szCs w:val="28"/>
        </w:rPr>
      </w:r>
    </w:p>
    <w:p>
      <w:pPr>
        <w:ind w:firstLine="709"/>
        <w:jc w:val="both"/>
        <w:spacing w:after="0" w:line="240" w:lineRule="auto"/>
        <w:rPr>
          <w:szCs w:val="28"/>
        </w:rPr>
      </w:pPr>
      <w:r>
        <w:rPr>
          <w:szCs w:val="28"/>
        </w:rPr>
        <w:t xml:space="preserve">Заинтересованные лица могут ознакомиться с поступившим ходатайством об установлении публичного сервитута и прилагаемой к нему схемой расположения границ публичного сервитута в Департаменте </w:t>
      </w:r>
      <w:r>
        <w:rPr>
          <w:szCs w:val="28"/>
        </w:rPr>
        <w:t xml:space="preserve">недропользования и природных ресурсов</w:t>
      </w:r>
      <w:r>
        <w:rPr>
          <w:szCs w:val="28"/>
        </w:rPr>
        <w:t xml:space="preserve"> Ханты-Мансийского автономного округа – Югры по адресу:</w:t>
        <w:br/>
        <w:t xml:space="preserve"> г. Ханты-Мансийск, ул. </w:t>
      </w:r>
      <w:r>
        <w:rPr>
          <w:szCs w:val="28"/>
        </w:rPr>
        <w:t xml:space="preserve">Дунина-</w:t>
      </w:r>
      <w:r>
        <w:rPr>
          <w:szCs w:val="28"/>
        </w:rPr>
        <w:t xml:space="preserve">Горкавича</w:t>
      </w:r>
      <w:r>
        <w:rPr>
          <w:szCs w:val="28"/>
        </w:rPr>
        <w:t xml:space="preserve">, дом 1, с 9:00 до 13:00 </w:t>
      </w:r>
      <w:r>
        <w:rPr>
          <w:szCs w:val="28"/>
        </w:rPr>
        <w:t xml:space="preserve">вторник, четверг</w:t>
      </w:r>
      <w:r>
        <w:rPr>
          <w:szCs w:val="28"/>
        </w:rPr>
        <w:t xml:space="preserve">.</w:t>
      </w:r>
      <w:r>
        <w:rPr>
          <w:szCs w:val="28"/>
        </w:rPr>
      </w:r>
      <w:r>
        <w:rPr>
          <w:szCs w:val="28"/>
        </w:rPr>
      </w:r>
    </w:p>
    <w:p>
      <w:pPr>
        <w:ind w:firstLine="709"/>
        <w:jc w:val="both"/>
        <w:spacing w:after="0" w:line="240" w:lineRule="auto"/>
        <w:rPr>
          <w:szCs w:val="28"/>
        </w:rPr>
      </w:pPr>
      <w:r>
        <w:rPr>
          <w:szCs w:val="28"/>
          <w:shd w:val="clear" w:color="auto" w:fill="ffffff"/>
        </w:rPr>
        <w:t xml:space="preserve">Подать заявления об учёте прав на земельный участок, в отношении которого</w:t>
      </w:r>
      <w:r>
        <w:rPr>
          <w:szCs w:val="28"/>
        </w:rPr>
        <w:t xml:space="preserve"> поступило ходатайство об установлении публичного сервитута,</w:t>
      </w:r>
      <w:r>
        <w:rPr>
          <w:szCs w:val="28"/>
          <w:shd w:val="clear" w:color="auto" w:fill="ffffff"/>
        </w:rPr>
        <w:t xml:space="preserve"> можно </w:t>
        <w:br/>
        <w:t xml:space="preserve">в </w:t>
      </w:r>
      <w:r>
        <w:rPr>
          <w:szCs w:val="28"/>
        </w:rPr>
        <w:t xml:space="preserve">Департамент </w:t>
      </w:r>
      <w:r>
        <w:rPr>
          <w:szCs w:val="28"/>
        </w:rPr>
        <w:t xml:space="preserve">недропользования и природных ресурсов</w:t>
      </w:r>
      <w:r>
        <w:rPr>
          <w:szCs w:val="28"/>
        </w:rPr>
        <w:t xml:space="preserve"> Ханты-Мансийского автономного округа – Югры по адресу: г. Ханты-Мансийск, ул. </w:t>
      </w:r>
      <w:r>
        <w:rPr>
          <w:szCs w:val="28"/>
        </w:rPr>
        <w:t xml:space="preserve">Дунина-</w:t>
      </w:r>
      <w:r>
        <w:rPr>
          <w:szCs w:val="28"/>
        </w:rPr>
        <w:t xml:space="preserve">Горкавича</w:t>
      </w:r>
      <w:r>
        <w:rPr>
          <w:szCs w:val="28"/>
        </w:rPr>
        <w:t xml:space="preserve">, дом </w:t>
      </w:r>
      <w:r>
        <w:rPr>
          <w:szCs w:val="28"/>
        </w:rPr>
        <w:t xml:space="preserve">1</w:t>
      </w:r>
      <w:r>
        <w:rPr>
          <w:szCs w:val="28"/>
        </w:rPr>
        <w:t xml:space="preserve"> </w:t>
      </w:r>
      <w:r>
        <w:rPr>
          <w:szCs w:val="28"/>
        </w:rPr>
        <w:t xml:space="preserve">(с 9:00 до 13:00 вторник, четверг) </w:t>
      </w:r>
      <w:r>
        <w:rPr>
          <w:szCs w:val="28"/>
        </w:rPr>
        <w:t xml:space="preserve">или на адрес электронной почты </w:t>
      </w:r>
      <w:r>
        <w:rPr>
          <w:szCs w:val="28"/>
          <w:lang w:val="en-US"/>
        </w:rPr>
        <w:t xml:space="preserve">depprirod</w:t>
      </w:r>
      <w:r>
        <w:rPr>
          <w:szCs w:val="28"/>
        </w:rPr>
        <w:t xml:space="preserve">@</w:t>
      </w:r>
      <w:r>
        <w:rPr>
          <w:szCs w:val="28"/>
          <w:lang w:val="en-US"/>
        </w:rPr>
        <w:t xml:space="preserve">admhmao</w:t>
      </w:r>
      <w:r>
        <w:rPr>
          <w:szCs w:val="28"/>
        </w:rPr>
        <w:t xml:space="preserve">.</w:t>
      </w:r>
      <w:r>
        <w:rPr>
          <w:szCs w:val="28"/>
          <w:lang w:val="en-US"/>
        </w:rPr>
        <w:t xml:space="preserve">ru</w:t>
      </w:r>
      <w:r>
        <w:rPr>
          <w:szCs w:val="28"/>
        </w:rPr>
        <w:t xml:space="preserve">, в течении 30 дней с момента публикации настоящего</w:t>
      </w:r>
      <w:r>
        <w:rPr>
          <w:szCs w:val="28"/>
        </w:rPr>
        <w:t xml:space="preserve"> сообщения.</w:t>
      </w:r>
      <w:r>
        <w:rPr>
          <w:szCs w:val="28"/>
        </w:rPr>
      </w:r>
      <w:r>
        <w:rPr>
          <w:szCs w:val="28"/>
        </w:rPr>
      </w:r>
    </w:p>
    <w:p>
      <w:pPr>
        <w:pStyle w:val="888"/>
        <w:numPr>
          <w:ilvl w:val="0"/>
          <w:numId w:val="2"/>
        </w:numPr>
        <w:ind w:left="0" w:firstLine="709"/>
        <w:jc w:val="both"/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сервитута.</w:t>
      </w:r>
      <w:r>
        <w:rPr>
          <w:rFonts w:eastAsia="Times New Roman" w:cs="Times New Roman"/>
          <w:b/>
          <w:szCs w:val="28"/>
          <w:lang w:eastAsia="ru-RU"/>
        </w:rPr>
      </w:r>
      <w:r>
        <w:rPr>
          <w:rFonts w:eastAsia="Times New Roman" w:cs="Times New Roman"/>
          <w:b/>
          <w:szCs w:val="28"/>
          <w:lang w:eastAsia="ru-RU"/>
        </w:rPr>
      </w:r>
    </w:p>
    <w:p>
      <w:pPr>
        <w:pStyle w:val="888"/>
        <w:numPr>
          <w:ilvl w:val="0"/>
          <w:numId w:val="13"/>
        </w:numPr>
        <w:ind w:right="0"/>
        <w:jc w:val="both"/>
        <w:spacing w:after="0" w:line="240" w:lineRule="auto"/>
        <w:rPr>
          <w:rFonts w:cs="Times New Roman"/>
          <w:color w:val="000000" w:themeColor="text1"/>
          <w:highlight w:val="none"/>
        </w:rPr>
      </w:pPr>
      <w:r/>
      <w:hyperlink r:id="rId10" w:tooltip="http://depprirod.admhmao.ru/" w:history="1">
        <w:r>
          <w:rPr>
            <w:rFonts w:eastAsia="Times New Roman" w:cs="Times New Roman"/>
            <w:color w:val="000000" w:themeColor="text1"/>
            <w:szCs w:val="28"/>
            <w:lang w:eastAsia="ru-RU"/>
          </w:rPr>
          <w:t xml:space="preserve">http://depprirod.admhmao.ru</w:t>
        </w:r>
      </w:hyperlink>
      <w:r>
        <w:rPr>
          <w:rFonts w:cs="Times New Roman"/>
          <w:color w:val="000000" w:themeColor="text1"/>
          <w:highlight w:val="none"/>
        </w:rPr>
      </w:r>
      <w:r>
        <w:rPr>
          <w:rFonts w:cs="Times New Roman"/>
          <w:color w:val="000000" w:themeColor="text1"/>
          <w:highlight w:val="none"/>
        </w:rPr>
      </w:r>
    </w:p>
    <w:p>
      <w:pPr>
        <w:pStyle w:val="888"/>
        <w:numPr>
          <w:ilvl w:val="0"/>
          <w:numId w:val="13"/>
        </w:numPr>
        <w:ind w:right="0"/>
        <w:jc w:val="both"/>
        <w:spacing w:after="0" w:line="240" w:lineRule="auto"/>
        <w:rPr>
          <w:rFonts w:cs="Times New Roman"/>
          <w:color w:val="000000" w:themeColor="text1"/>
          <w:highlight w:val="none"/>
        </w:rPr>
      </w:pPr>
      <w:r>
        <w:rPr>
          <w:rFonts w:cs="Times New Roman"/>
          <w:color w:val="000000" w:themeColor="text1"/>
          <w:highlight w:val="none"/>
        </w:rPr>
      </w:r>
      <w:r>
        <w:rPr>
          <w:rFonts w:cs="Times New Roman"/>
          <w:color w:val="000000" w:themeColor="text1"/>
          <w:highlight w:val="none"/>
        </w:rPr>
        <w:t xml:space="preserve">https://hmrn.ru/</w:t>
      </w:r>
      <w:r>
        <w:rPr>
          <w:rFonts w:cs="Times New Roman"/>
          <w:color w:val="000000" w:themeColor="text1"/>
          <w:highlight w:val="none"/>
        </w:rPr>
      </w:r>
      <w:r>
        <w:rPr>
          <w:rFonts w:cs="Times New Roman"/>
          <w:color w:val="000000" w:themeColor="text1"/>
          <w:highlight w:val="none"/>
        </w:rPr>
      </w:r>
    </w:p>
    <w:p>
      <w:pPr>
        <w:ind w:firstLine="567"/>
        <w:jc w:val="both"/>
        <w:spacing w:after="0" w:line="240" w:lineRule="auto"/>
        <w:rPr>
          <w:b/>
          <w:szCs w:val="28"/>
        </w:rPr>
      </w:pPr>
      <w:r>
        <w:rPr>
          <w:b/>
          <w:szCs w:val="28"/>
        </w:rPr>
        <w:t xml:space="preserve">6. Реквизиты документов, указанных в ходатайстве об установлении публичного сервитута.</w:t>
      </w:r>
      <w:r>
        <w:rPr>
          <w:b/>
          <w:szCs w:val="28"/>
        </w:rPr>
      </w:r>
      <w:r>
        <w:rPr>
          <w:b/>
          <w:szCs w:val="28"/>
        </w:rPr>
      </w:r>
    </w:p>
    <w:p>
      <w:pPr>
        <w:ind w:left="0" w:right="0" w:firstLine="850"/>
        <w:jc w:val="both"/>
        <w:spacing w:after="0" w:line="240" w:lineRule="auto"/>
        <w:rPr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b w:val="0"/>
          <w:bCs w:val="0"/>
        </w:rPr>
        <w:t xml:space="preserve">-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left="2268" w:hanging="1701"/>
        <w:jc w:val="both"/>
        <w:spacing w:after="0" w:line="240" w:lineRule="auto"/>
        <w:rPr>
          <w:b w:val="0"/>
          <w:bCs w:val="0"/>
          <w:szCs w:val="28"/>
        </w:rPr>
      </w:pPr>
      <w:r>
        <w:rPr>
          <w:b w:val="0"/>
          <w:bCs w:val="0"/>
          <w:szCs w:val="28"/>
        </w:rPr>
      </w:r>
      <w:r>
        <w:rPr>
          <w:b w:val="0"/>
          <w:bCs w:val="0"/>
          <w:szCs w:val="28"/>
        </w:rPr>
      </w:r>
      <w:r>
        <w:rPr>
          <w:b w:val="0"/>
          <w:bCs w:val="0"/>
          <w:szCs w:val="28"/>
        </w:rPr>
      </w:r>
    </w:p>
    <w:p>
      <w:pPr>
        <w:ind w:left="2268" w:hanging="1701"/>
        <w:jc w:val="both"/>
        <w:spacing w:after="0" w:line="240" w:lineRule="auto"/>
        <w:rPr>
          <w:szCs w:val="28"/>
        </w:rPr>
      </w:pPr>
      <w:r/>
      <w:bookmarkStart w:id="0" w:name="_GoBack"/>
      <w:r/>
      <w:bookmarkEnd w:id="0"/>
      <w:r>
        <w:rPr>
          <w:szCs w:val="28"/>
        </w:rPr>
        <w:t xml:space="preserve">Приложение: </w:t>
      </w:r>
      <w:r>
        <w:rPr>
          <w:szCs w:val="28"/>
        </w:rPr>
        <w:t xml:space="preserve">Описание местоположения границ публичного сервитута</w:t>
      </w:r>
      <w:r>
        <w:rPr>
          <w:szCs w:val="28"/>
        </w:rPr>
      </w:r>
      <w:r>
        <w:rPr>
          <w:szCs w:val="28"/>
        </w:rPr>
      </w:r>
    </w:p>
    <w:p>
      <w:pPr>
        <w:ind w:firstLine="567"/>
        <w:jc w:val="both"/>
        <w:spacing w:after="0" w:line="240" w:lineRule="auto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6" w:bottom="1134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Liberation Sans">
    <w:panose1 w:val="020B0604020202020204"/>
  </w:font>
  <w:font w:name="Wingdings">
    <w:panose1 w:val="05000000000000000000"/>
  </w:font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623919650"/>
      <w:docPartObj>
        <w:docPartGallery w:val="Page Numbers (Top of Page)"/>
        <w:docPartUnique w:val="true"/>
      </w:docPartObj>
      <w:rPr/>
    </w:sdtPr>
    <w:sdtContent>
      <w:p>
        <w:pPr>
          <w:pStyle w:val="88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8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31" w:hanging="564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20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9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6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8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5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2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63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b/>
        <w:bCs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Theme="minorHAnsi" w:cstheme="minorBidi"/>
        <w:sz w:val="28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5">
    <w:name w:val="Heading 1"/>
    <w:basedOn w:val="878"/>
    <w:next w:val="878"/>
    <w:link w:val="70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6">
    <w:name w:val="Heading 1 Char"/>
    <w:basedOn w:val="879"/>
    <w:link w:val="705"/>
    <w:uiPriority w:val="9"/>
    <w:rPr>
      <w:rFonts w:ascii="Arial" w:hAnsi="Arial" w:eastAsia="Arial" w:cs="Arial"/>
      <w:sz w:val="40"/>
      <w:szCs w:val="40"/>
    </w:rPr>
  </w:style>
  <w:style w:type="paragraph" w:styleId="707">
    <w:name w:val="Heading 2"/>
    <w:basedOn w:val="878"/>
    <w:next w:val="878"/>
    <w:link w:val="70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8">
    <w:name w:val="Heading 2 Char"/>
    <w:basedOn w:val="879"/>
    <w:link w:val="707"/>
    <w:uiPriority w:val="9"/>
    <w:rPr>
      <w:rFonts w:ascii="Arial" w:hAnsi="Arial" w:eastAsia="Arial" w:cs="Arial"/>
      <w:sz w:val="34"/>
    </w:rPr>
  </w:style>
  <w:style w:type="paragraph" w:styleId="709">
    <w:name w:val="Heading 3"/>
    <w:basedOn w:val="878"/>
    <w:next w:val="878"/>
    <w:link w:val="71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0">
    <w:name w:val="Heading 3 Char"/>
    <w:basedOn w:val="879"/>
    <w:link w:val="709"/>
    <w:uiPriority w:val="9"/>
    <w:rPr>
      <w:rFonts w:ascii="Arial" w:hAnsi="Arial" w:eastAsia="Arial" w:cs="Arial"/>
      <w:sz w:val="30"/>
      <w:szCs w:val="30"/>
    </w:rPr>
  </w:style>
  <w:style w:type="paragraph" w:styleId="711">
    <w:name w:val="Heading 4"/>
    <w:basedOn w:val="878"/>
    <w:next w:val="878"/>
    <w:link w:val="71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2">
    <w:name w:val="Heading 4 Char"/>
    <w:basedOn w:val="879"/>
    <w:link w:val="711"/>
    <w:uiPriority w:val="9"/>
    <w:rPr>
      <w:rFonts w:ascii="Arial" w:hAnsi="Arial" w:eastAsia="Arial" w:cs="Arial"/>
      <w:b/>
      <w:bCs/>
      <w:sz w:val="26"/>
      <w:szCs w:val="26"/>
    </w:rPr>
  </w:style>
  <w:style w:type="paragraph" w:styleId="713">
    <w:name w:val="Heading 5"/>
    <w:basedOn w:val="878"/>
    <w:next w:val="878"/>
    <w:link w:val="71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4">
    <w:name w:val="Heading 5 Char"/>
    <w:basedOn w:val="879"/>
    <w:link w:val="713"/>
    <w:uiPriority w:val="9"/>
    <w:rPr>
      <w:rFonts w:ascii="Arial" w:hAnsi="Arial" w:eastAsia="Arial" w:cs="Arial"/>
      <w:b/>
      <w:bCs/>
      <w:sz w:val="24"/>
      <w:szCs w:val="24"/>
    </w:rPr>
  </w:style>
  <w:style w:type="paragraph" w:styleId="715">
    <w:name w:val="Heading 6"/>
    <w:basedOn w:val="878"/>
    <w:next w:val="878"/>
    <w:link w:val="71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6">
    <w:name w:val="Heading 6 Char"/>
    <w:basedOn w:val="879"/>
    <w:link w:val="715"/>
    <w:uiPriority w:val="9"/>
    <w:rPr>
      <w:rFonts w:ascii="Arial" w:hAnsi="Arial" w:eastAsia="Arial" w:cs="Arial"/>
      <w:b/>
      <w:bCs/>
      <w:sz w:val="22"/>
      <w:szCs w:val="22"/>
    </w:rPr>
  </w:style>
  <w:style w:type="paragraph" w:styleId="717">
    <w:name w:val="Heading 7"/>
    <w:basedOn w:val="878"/>
    <w:next w:val="878"/>
    <w:link w:val="71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8">
    <w:name w:val="Heading 7 Char"/>
    <w:basedOn w:val="879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9">
    <w:name w:val="Heading 8"/>
    <w:basedOn w:val="878"/>
    <w:next w:val="878"/>
    <w:link w:val="7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0">
    <w:name w:val="Heading 8 Char"/>
    <w:basedOn w:val="879"/>
    <w:link w:val="719"/>
    <w:uiPriority w:val="9"/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878"/>
    <w:next w:val="878"/>
    <w:link w:val="72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2">
    <w:name w:val="Heading 9 Char"/>
    <w:basedOn w:val="879"/>
    <w:link w:val="721"/>
    <w:uiPriority w:val="9"/>
    <w:rPr>
      <w:rFonts w:ascii="Arial" w:hAnsi="Arial" w:eastAsia="Arial" w:cs="Arial"/>
      <w:i/>
      <w:iCs/>
      <w:sz w:val="21"/>
      <w:szCs w:val="21"/>
    </w:rPr>
  </w:style>
  <w:style w:type="paragraph" w:styleId="723">
    <w:name w:val="No Spacing"/>
    <w:uiPriority w:val="1"/>
    <w:qFormat/>
    <w:pPr>
      <w:spacing w:before="0" w:after="0" w:line="240" w:lineRule="auto"/>
    </w:pPr>
  </w:style>
  <w:style w:type="paragraph" w:styleId="724">
    <w:name w:val="Title"/>
    <w:basedOn w:val="878"/>
    <w:next w:val="878"/>
    <w:link w:val="72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5">
    <w:name w:val="Title Char"/>
    <w:basedOn w:val="879"/>
    <w:link w:val="724"/>
    <w:uiPriority w:val="10"/>
    <w:rPr>
      <w:sz w:val="48"/>
      <w:szCs w:val="48"/>
    </w:rPr>
  </w:style>
  <w:style w:type="paragraph" w:styleId="726">
    <w:name w:val="Subtitle"/>
    <w:basedOn w:val="878"/>
    <w:next w:val="878"/>
    <w:link w:val="727"/>
    <w:uiPriority w:val="11"/>
    <w:qFormat/>
    <w:pPr>
      <w:spacing w:before="200" w:after="200"/>
    </w:pPr>
    <w:rPr>
      <w:sz w:val="24"/>
      <w:szCs w:val="24"/>
    </w:rPr>
  </w:style>
  <w:style w:type="character" w:styleId="727">
    <w:name w:val="Subtitle Char"/>
    <w:basedOn w:val="879"/>
    <w:link w:val="726"/>
    <w:uiPriority w:val="11"/>
    <w:rPr>
      <w:sz w:val="24"/>
      <w:szCs w:val="24"/>
    </w:rPr>
  </w:style>
  <w:style w:type="paragraph" w:styleId="728">
    <w:name w:val="Quote"/>
    <w:basedOn w:val="878"/>
    <w:next w:val="878"/>
    <w:link w:val="729"/>
    <w:uiPriority w:val="29"/>
    <w:qFormat/>
    <w:pPr>
      <w:ind w:left="720" w:right="720"/>
    </w:pPr>
    <w:rPr>
      <w:i/>
    </w:rPr>
  </w:style>
  <w:style w:type="character" w:styleId="729">
    <w:name w:val="Quote Char"/>
    <w:link w:val="728"/>
    <w:uiPriority w:val="29"/>
    <w:rPr>
      <w:i/>
    </w:rPr>
  </w:style>
  <w:style w:type="paragraph" w:styleId="730">
    <w:name w:val="Intense Quote"/>
    <w:basedOn w:val="878"/>
    <w:next w:val="878"/>
    <w:link w:val="73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1">
    <w:name w:val="Intense Quote Char"/>
    <w:link w:val="730"/>
    <w:uiPriority w:val="30"/>
    <w:rPr>
      <w:i/>
    </w:rPr>
  </w:style>
  <w:style w:type="character" w:styleId="732">
    <w:name w:val="Header Char"/>
    <w:basedOn w:val="879"/>
    <w:link w:val="884"/>
    <w:uiPriority w:val="99"/>
  </w:style>
  <w:style w:type="character" w:styleId="733">
    <w:name w:val="Footer Char"/>
    <w:basedOn w:val="879"/>
    <w:link w:val="886"/>
    <w:uiPriority w:val="99"/>
  </w:style>
  <w:style w:type="paragraph" w:styleId="734">
    <w:name w:val="Caption"/>
    <w:basedOn w:val="878"/>
    <w:next w:val="878"/>
    <w:link w:val="7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5">
    <w:name w:val="Caption Char"/>
    <w:basedOn w:val="734"/>
    <w:link w:val="886"/>
    <w:uiPriority w:val="99"/>
  </w:style>
  <w:style w:type="table" w:styleId="736">
    <w:name w:val="Table Grid Light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>
    <w:name w:val="Plain Table 1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2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>
    <w:name w:val="Plain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Plain Table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>
    <w:name w:val="Grid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4">
    <w:name w:val="Grid Table 4 - Accent 1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5">
    <w:name w:val="Grid Table 4 - Accent 2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Grid Table 4 - Accent 3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7">
    <w:name w:val="Grid Table 4 - Accent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Grid Table 4 - Accent 5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9">
    <w:name w:val="Grid Table 4 - Accent 6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0">
    <w:name w:val="Grid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1">
    <w:name w:val="Grid Table 5 Dark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7">
    <w:name w:val="Grid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8">
    <w:name w:val="Grid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9">
    <w:name w:val="Grid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0">
    <w:name w:val="Grid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1">
    <w:name w:val="Grid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2">
    <w:name w:val="Grid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3">
    <w:name w:val="Grid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4">
    <w:name w:val="Grid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9">
    <w:name w:val="List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0">
    <w:name w:val="List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1">
    <w:name w:val="List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2">
    <w:name w:val="List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3">
    <w:name w:val="List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4">
    <w:name w:val="List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5">
    <w:name w:val="List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7">
    <w:name w:val="List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8">
    <w:name w:val="List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9">
    <w:name w:val="List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0">
    <w:name w:val="List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1">
    <w:name w:val="List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2">
    <w:name w:val="List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3">
    <w:name w:val="List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4">
    <w:name w:val="List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5">
    <w:name w:val="List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6">
    <w:name w:val="List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7">
    <w:name w:val="List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8">
    <w:name w:val="List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9">
    <w:name w:val="List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40">
    <w:name w:val="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2">
    <w:name w:val="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3">
    <w:name w:val="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4">
    <w:name w:val="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5">
    <w:name w:val="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6">
    <w:name w:val="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7">
    <w:name w:val="Bordered &amp; 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8">
    <w:name w:val="Bordered &amp; 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9">
    <w:name w:val="Bordered &amp; 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0">
    <w:name w:val="Bordered &amp; 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1">
    <w:name w:val="Bordered &amp; 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2">
    <w:name w:val="Bordered &amp; 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3">
    <w:name w:val="Bordered &amp; 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4">
    <w:name w:val="Bordered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5">
    <w:name w:val="Bordered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6">
    <w:name w:val="Bordered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7">
    <w:name w:val="Bordered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8">
    <w:name w:val="Bordered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9">
    <w:name w:val="Bordered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0">
    <w:name w:val="Bordered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1">
    <w:name w:val="footnote text"/>
    <w:basedOn w:val="878"/>
    <w:link w:val="862"/>
    <w:uiPriority w:val="99"/>
    <w:semiHidden/>
    <w:unhideWhenUsed/>
    <w:pPr>
      <w:spacing w:after="40" w:line="240" w:lineRule="auto"/>
    </w:pPr>
    <w:rPr>
      <w:sz w:val="18"/>
    </w:rPr>
  </w:style>
  <w:style w:type="character" w:styleId="862">
    <w:name w:val="Footnote Text Char"/>
    <w:link w:val="861"/>
    <w:uiPriority w:val="99"/>
    <w:rPr>
      <w:sz w:val="18"/>
    </w:rPr>
  </w:style>
  <w:style w:type="character" w:styleId="863">
    <w:name w:val="footnote reference"/>
    <w:basedOn w:val="879"/>
    <w:uiPriority w:val="99"/>
    <w:unhideWhenUsed/>
    <w:rPr>
      <w:vertAlign w:val="superscript"/>
    </w:rPr>
  </w:style>
  <w:style w:type="paragraph" w:styleId="864">
    <w:name w:val="endnote text"/>
    <w:basedOn w:val="878"/>
    <w:link w:val="865"/>
    <w:uiPriority w:val="99"/>
    <w:semiHidden/>
    <w:unhideWhenUsed/>
    <w:pPr>
      <w:spacing w:after="0" w:line="240" w:lineRule="auto"/>
    </w:pPr>
    <w:rPr>
      <w:sz w:val="20"/>
    </w:rPr>
  </w:style>
  <w:style w:type="character" w:styleId="865">
    <w:name w:val="Endnote Text Char"/>
    <w:link w:val="864"/>
    <w:uiPriority w:val="99"/>
    <w:rPr>
      <w:sz w:val="20"/>
    </w:rPr>
  </w:style>
  <w:style w:type="character" w:styleId="866">
    <w:name w:val="endnote reference"/>
    <w:basedOn w:val="879"/>
    <w:uiPriority w:val="99"/>
    <w:semiHidden/>
    <w:unhideWhenUsed/>
    <w:rPr>
      <w:vertAlign w:val="superscript"/>
    </w:rPr>
  </w:style>
  <w:style w:type="paragraph" w:styleId="867">
    <w:name w:val="toc 1"/>
    <w:basedOn w:val="878"/>
    <w:next w:val="878"/>
    <w:uiPriority w:val="39"/>
    <w:unhideWhenUsed/>
    <w:pPr>
      <w:ind w:left="0" w:right="0" w:firstLine="0"/>
      <w:spacing w:after="57"/>
    </w:pPr>
  </w:style>
  <w:style w:type="paragraph" w:styleId="868">
    <w:name w:val="toc 2"/>
    <w:basedOn w:val="878"/>
    <w:next w:val="878"/>
    <w:uiPriority w:val="39"/>
    <w:unhideWhenUsed/>
    <w:pPr>
      <w:ind w:left="283" w:right="0" w:firstLine="0"/>
      <w:spacing w:after="57"/>
    </w:pPr>
  </w:style>
  <w:style w:type="paragraph" w:styleId="869">
    <w:name w:val="toc 3"/>
    <w:basedOn w:val="878"/>
    <w:next w:val="878"/>
    <w:uiPriority w:val="39"/>
    <w:unhideWhenUsed/>
    <w:pPr>
      <w:ind w:left="567" w:right="0" w:firstLine="0"/>
      <w:spacing w:after="57"/>
    </w:pPr>
  </w:style>
  <w:style w:type="paragraph" w:styleId="870">
    <w:name w:val="toc 4"/>
    <w:basedOn w:val="878"/>
    <w:next w:val="878"/>
    <w:uiPriority w:val="39"/>
    <w:unhideWhenUsed/>
    <w:pPr>
      <w:ind w:left="850" w:right="0" w:firstLine="0"/>
      <w:spacing w:after="57"/>
    </w:pPr>
  </w:style>
  <w:style w:type="paragraph" w:styleId="871">
    <w:name w:val="toc 5"/>
    <w:basedOn w:val="878"/>
    <w:next w:val="878"/>
    <w:uiPriority w:val="39"/>
    <w:unhideWhenUsed/>
    <w:pPr>
      <w:ind w:left="1134" w:right="0" w:firstLine="0"/>
      <w:spacing w:after="57"/>
    </w:pPr>
  </w:style>
  <w:style w:type="paragraph" w:styleId="872">
    <w:name w:val="toc 6"/>
    <w:basedOn w:val="878"/>
    <w:next w:val="878"/>
    <w:uiPriority w:val="39"/>
    <w:unhideWhenUsed/>
    <w:pPr>
      <w:ind w:left="1417" w:right="0" w:firstLine="0"/>
      <w:spacing w:after="57"/>
    </w:pPr>
  </w:style>
  <w:style w:type="paragraph" w:styleId="873">
    <w:name w:val="toc 7"/>
    <w:basedOn w:val="878"/>
    <w:next w:val="878"/>
    <w:uiPriority w:val="39"/>
    <w:unhideWhenUsed/>
    <w:pPr>
      <w:ind w:left="1701" w:right="0" w:firstLine="0"/>
      <w:spacing w:after="57"/>
    </w:pPr>
  </w:style>
  <w:style w:type="paragraph" w:styleId="874">
    <w:name w:val="toc 8"/>
    <w:basedOn w:val="878"/>
    <w:next w:val="878"/>
    <w:uiPriority w:val="39"/>
    <w:unhideWhenUsed/>
    <w:pPr>
      <w:ind w:left="1984" w:right="0" w:firstLine="0"/>
      <w:spacing w:after="57"/>
    </w:pPr>
  </w:style>
  <w:style w:type="paragraph" w:styleId="875">
    <w:name w:val="toc 9"/>
    <w:basedOn w:val="878"/>
    <w:next w:val="878"/>
    <w:uiPriority w:val="39"/>
    <w:unhideWhenUsed/>
    <w:pPr>
      <w:ind w:left="2268" w:right="0" w:firstLine="0"/>
      <w:spacing w:after="57"/>
    </w:pPr>
  </w:style>
  <w:style w:type="paragraph" w:styleId="876">
    <w:name w:val="TOC Heading"/>
    <w:uiPriority w:val="39"/>
    <w:unhideWhenUsed/>
  </w:style>
  <w:style w:type="paragraph" w:styleId="877">
    <w:name w:val="table of figures"/>
    <w:basedOn w:val="878"/>
    <w:next w:val="878"/>
    <w:uiPriority w:val="99"/>
    <w:unhideWhenUsed/>
    <w:pPr>
      <w:spacing w:after="0" w:afterAutospacing="0"/>
    </w:pPr>
  </w:style>
  <w:style w:type="paragraph" w:styleId="878" w:default="1">
    <w:name w:val="Normal"/>
    <w:qFormat/>
  </w:style>
  <w:style w:type="character" w:styleId="879" w:default="1">
    <w:name w:val="Default Paragraph Font"/>
    <w:uiPriority w:val="1"/>
    <w:semiHidden/>
    <w:unhideWhenUsed/>
  </w:style>
  <w:style w:type="table" w:styleId="8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1" w:default="1">
    <w:name w:val="No List"/>
    <w:uiPriority w:val="99"/>
    <w:semiHidden/>
    <w:unhideWhenUsed/>
  </w:style>
  <w:style w:type="table" w:styleId="882">
    <w:name w:val="Table Grid"/>
    <w:basedOn w:val="88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83">
    <w:name w:val="Hyperlink"/>
    <w:basedOn w:val="879"/>
    <w:uiPriority w:val="99"/>
    <w:unhideWhenUsed/>
    <w:rPr>
      <w:color w:val="0563c1" w:themeColor="hyperlink"/>
      <w:u w:val="single"/>
    </w:rPr>
  </w:style>
  <w:style w:type="paragraph" w:styleId="884">
    <w:name w:val="Header"/>
    <w:basedOn w:val="878"/>
    <w:link w:val="88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5" w:customStyle="1">
    <w:name w:val="Верхний колонтитул Знак"/>
    <w:basedOn w:val="879"/>
    <w:link w:val="884"/>
    <w:uiPriority w:val="99"/>
  </w:style>
  <w:style w:type="paragraph" w:styleId="886">
    <w:name w:val="Footer"/>
    <w:basedOn w:val="878"/>
    <w:link w:val="88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7" w:customStyle="1">
    <w:name w:val="Нижний колонтитул Знак"/>
    <w:basedOn w:val="879"/>
    <w:link w:val="886"/>
    <w:uiPriority w:val="99"/>
  </w:style>
  <w:style w:type="paragraph" w:styleId="888">
    <w:name w:val="List Paragraph"/>
    <w:basedOn w:val="878"/>
    <w:uiPriority w:val="34"/>
    <w:qFormat/>
    <w:pPr>
      <w:contextualSpacing/>
      <w:ind w:left="720"/>
    </w:pPr>
  </w:style>
  <w:style w:type="paragraph" w:styleId="889" w:customStyle="1">
    <w:name w:val="Body Text"/>
    <w:basedOn w:val="860"/>
    <w:uiPriority w:val="1"/>
    <w:qFormat/>
    <w:pPr>
      <w:contextualSpacing w:val="0"/>
      <w:ind w:left="115" w:right="0" w:firstLine="852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890" w:customStyle="1">
    <w:name w:val="Normal (Web)"/>
    <w:basedOn w:val="869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://depprirod.admhmao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Белозерцев Олег Юрьевич</dc:creator>
  <cp:keywords/>
  <dc:description/>
  <cp:lastModifiedBy>ZuevaOV</cp:lastModifiedBy>
  <cp:revision>80</cp:revision>
  <dcterms:created xsi:type="dcterms:W3CDTF">2020-02-13T10:36:00Z</dcterms:created>
  <dcterms:modified xsi:type="dcterms:W3CDTF">2026-10-16T09:55:10Z</dcterms:modified>
</cp:coreProperties>
</file>